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14 vom 23. September 2024</w:t>
      </w:r>
    </w:p>
    <w:p>
      <w:r>
        <w:t>VS Kantonsgericht, 2024-09-23, DE</w:t>
      </w:r>
    </w:p>
    <w:p>
      <w:r>
        <w:rPr>
          <w:b/>
        </w:rPr>
        <w:t xml:space="preserve">Quelle: </w:t>
      </w:r>
      <w:r>
        <w:t>https://mcp.opencaselaw.ch/entscheid/vs_gerichte_S2 24 14</w:t>
      </w:r>
    </w:p>
    <w:p>
      <w:r>
        <w:t>FR: VS_GERICHTE S2 24 14 du 23 septembre 2024</w:t>
      </w:r>
    </w:p>
    <w:p>
      <w:r>
        <w:t>IT: VS_GERICHTE S2 24 14 del 23 settembre 2024</w:t>
      </w:r>
    </w:p>
    <w:p>
      <w:pPr>
        <w:pStyle w:val="Heading2"/>
      </w:pPr>
      <w:r>
        <w:t>Regeste</w:t>
      </w:r>
    </w:p>
    <w:p>
      <w:r>
        <w:t>S2 24 14 URTEIL VOM 23. SEPTEMBER 2024 Kantonsgericht Wallis Sozialversicherungsrechtliche Abteilung Besetzung: Michael Steiner, Präsident; Candido Prada und Dr. Thierry Schnyder, Kantonsrichter; Renata Kreuzer, Gerichtsschreiberin in Sachen X _________, Beschwerdeführer, vertreten durch Rechtsanwalt Jonas Steiner, Aarau gegen SCHWEIZERISCHE UNFALLVERSICHERUNG (SUVA), Beschwerde-gegnerin (Kausalzusammenhang) Beschwerde gegen den Entscheid vom 9. Januar 2024</w:t>
      </w:r>
    </w:p>
    <w:p>
      <w:pPr>
        <w:pStyle w:val="Heading2"/>
      </w:pPr>
      <w:r>
        <w:t>Erwägungen</w:t>
      </w:r>
    </w:p>
    <w:p>
      <w:r>
        <w:rPr>
          <w:b/>
        </w:rPr>
        <w:t>E. 1</w:t>
      </w:r>
    </w:p>
    <w:p>
      <w:r>
        <w:t>Gemäss Art. 1 Abs. 1 UVG sind die Bestimmungen ATSG auf die Unfallversicherung anwendbar, soweit das UVG nicht ausdrücklich etwas anderes bestimmt. Das Kantons- gericht prüft die Prozessvoraussetzungen, namentlich die Partei- und Prozessfähigkeit, die Zulässigkeit des Rechtsweges, die Zuständigkeit der angerufenen Instanz, das Rechtsschutzinteresse sowie die formrichtige und rechtzeitige Rechtsvorkehr von Amtes wegen (BGE 131 V 202 E. 1, 130 V 514 E. 1 und 126 V 30). Der Beschwerdeführer wohnt im Oberwallis, weshalb die sozialversicherungsrechtliche Abteilung des Kantons- gerichts gestützt auf Art. 7 Abs. 2 RPflG, Art. 58 Abs. 1 ATSG i.V.m. Art. 1 Abs. 2 RVG und Art. 81a VVRG als kantonales Versicherungsgericht für die Behandlung von Be- schwerden auf dem Gebiet des Sozialversicherungsrechts zuständig ist (vgl. BGE 127 V 176 E. 2). Der Beschwerdeführer ist durch den Einspracheentscheid berührt und hat ein schutzwürdiges Interesse an dessen Aufhebung, weshalb auf seine form- und frist- gerecht eingereichte Beschwerde einzutreten ist (Art. 59, Art. 60 i.V.m. Art. 38 ATSG).</w:t>
      </w:r>
    </w:p>
    <w:p>
      <w:r>
        <w:t>- 4 -</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Vorliegend streitig und zu prüfen ist, ob die Beschwerdegegnerin die gesetzlichen Leistungen über den 30. September 2022 hinaus zu erbringen hat. Zu diskutieren ist dabei in erster Linie der natürliche Kausalzusammenhang der geltend gemachten Rückenbeschwerden mit dem Unfall vom 7. Juni 2022.</w:t>
      </w:r>
    </w:p>
    <w:p>
      <w:r>
        <w:rPr>
          <w:b/>
        </w:rPr>
        <w:t>E. 3.1</w:t>
      </w:r>
    </w:p>
    <w:p>
      <w:r>
        <w:t>Nach Unfallversicherungsgesetz sind grundsätzlich Berufs- und Nichtberufsunfälle versichert. Dem Berufsunfall gleichgestellt werden Berufskrankheiten (Art. 6 Abs. 1 und Art. 9 Abs. 3 UVG). Als Unfall gilt die plötzliche, nicht beabsichtigte schädigende Einwir- kung eines ungewöhnlichen äusseren Faktors auf den menschlichen Körper. Das Ereig- nis muss dabei die Ursache einer gesundheitlichen Störung sein. Somit ist der Kausal- zusammenhang erforderlich.</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 hangs nicht erforderlich, dass ein Unfall die alleinige oder unmittelbare Ursache gesund- heitlicher Störungen ist. Es genügt, dass das schädigende Ereignis zusammen mit an- deren Bedingungen die körperliche oder geistige Integrität des Versicherten beeinträch- tigt hat, der Unfall mit andern Worten nicht weggedacht werden kann, ohne dass auch die eingetretene gesundheitliche Störung entfiele (BGE 119 V 337 E. 1, 118 V 289 E. 1b mit Hinweisen). Ob zwischen einem schädigenden Ereignis und einer gesundheitlichen Störung ein na- türlicher Kausalzusammenhang besteht, ist eine Tatfrage, worüber die Verwaltung bzw. im Beschwerdefall der Richter im Rahmen der ihm obliegenden Beweiswürdigung nach dem im Sozialversicherungsrecht üblichen Beweisgrad der überwiegenden Wahrschein- lichkeit zu befinden hat. Die blosse Möglichkeit eines Zusammenhangs genügt für die</w:t>
      </w:r>
    </w:p>
    <w:p>
      <w:r>
        <w:t>- 5 - Begründung eines Leistungsanspruchs nicht (BGE 119 V 338 E. 1, 118 V 289 E. 1b mit Hinweisen). Für die Feststellung natürlicher Kausalzusammenhänge im Bereich der Me- dizin ist die Verwaltung bzw. der Richter bisweilen auf Angaben ärztlicher Experten an- gewiesen (BGE 118 V 290 E. 1b).</w:t>
      </w:r>
    </w:p>
    <w:p>
      <w:r>
        <w:rPr>
          <w:b/>
        </w:rPr>
        <w:t>E. 3.3</w:t>
      </w:r>
    </w:p>
    <w:p>
      <w:r>
        <w:t>Ebenso wie der leistungsbegründende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Unfalles genügt nicht. Da es sich hier- bei um eine anspruchsaufhebende Tatfrage handelt, liegt die Beweislast – anders als bei der Frage, ob ein leistungsbegründender natürlicher Kausalzusammenhang gege- ben ist – nicht bei der versicherten Person, sondern beim Unfallversicherer. Der Unfall- versicherer hat nicht den Beweis für unfallfremde Ursachen zu erbringen. Welche Ursa- chen ein nach wie vor geklagtes Leiden hat, ist an sich unerheblich. Entscheidend ist allein, ob die unfallbedingten Ursachen eines Gesundheitsschadens ihre kausale Be- deutung verloren haben, also dahingefallen sind (Bundesgerichtsurteil U 141/05 vom 21. September 2005 E. 2.2).</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w:t>
      </w:r>
    </w:p>
    <w:p>
      <w:r>
        <w:t>- 6 - der eingereichten oder in Auftrag gegebenen Stellungnahme als Bericht oder Gutachten (BGE 125 V 351 E. 3a, 122 V 160f E. 1c mit weiteren Hinweisen). 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 werten sind (Unzulässigkeit der Maxime „post hoc ergo propter hoc“, BGE 119 V 335 E. 2b/bb; Bundesgerichtsurteile 8C_244/2023 vom 19. Oktober 2023 E. 5.1 mit Hinweisen, 8C_241/2020 vom 29. Mai 2020 E.3). Nach der Rechtsprechung kommt den Berichten und Gutachten versicherungsinterner Ärztinnen und Ärzte Beweiswert zu, sofern sie als schlüssig erscheinen, nachvollziehbar begründet sowie in sich widerspruchsfrei sind und keine Indizien gegen ihre Zuverläs- sigkeit bestehen (BGE 125 V 351 E. 3b/ee). Reine Aktengutachten sind beweiskräftig, sofern ein lückenloser Befund vorliegt und es im Wesentlichen nur um die fachärztliche Beurteilung eines an sich feststehenden me- dizinischen Sachverhalts geht, mithin die direkte ärztliche Befassung mit der versicher- ten Person in den Hintergrund rückt (Bundesgerichtsurteil 8C_750/2020 vom 23. April 2021 E. 4 mit Hinweisen).</w:t>
      </w:r>
    </w:p>
    <w:p>
      <w:r>
        <w:rPr>
          <w:b/>
        </w:rPr>
        <w:t>E. 5.1</w:t>
      </w:r>
    </w:p>
    <w:p>
      <w:r>
        <w:t>Die Beschwerdegegnerin stützt sich für ihre Entscheidung auf die mehrfachen Ak- tenbeurteilungen ihres Kreisarztes, die sie als umfassend, widerspruchsfrei und schlüs- sig erachtet. Dieser führte die persistierenden Beschwerden des Versicherten in seiner ärztlichen Beurteilung vom 6. Dezember 2023 auf einen degenerativen Vorzustand zu- rück. Beim Unfall sei dieser Vorzustand aktiviert worden. Das MRI vom 21. Juni 2022 habe degenerative Veränderungen sowie Diskusprotrusionen L4/5 und L5/S1 gezeigt, jedoch keine Hinweise auf frische unfallkausale strukturelle Läsionen, wie eine Blutung oder einen Bone Bruise. Es sei damit von einer vorübergehenden Verschlimmerung aus- zugehen. Die Tatsache, dass Beschwerden erst durch ein Unfallereignis ausgelöst wür- den, belege nicht, dass ein unfallkausaler struktureller Schaden vorliege. Aufgrund der vorliegenden Befunde sei ein solcher mit überwiegender Wahrscheinlichkeit nicht gege- ben. Der Versicherungsmediziner der SUVA stellte am 28. Mai 2024 fest, entgegen der Ansicht des behandelnden Wirbelsäulenchirurgen trete ein traumatischer Bandschei- benvorfall nicht ohne Anzeichen eines Traumas in den angrenzenden Strukturen auf.</w:t>
      </w:r>
    </w:p>
    <w:p>
      <w:r>
        <w:t>- 7 - Auch weise das Unfallereignis vom 7. Juni 2022 nicht den erforderlichen Schweregrad für eine traumatische Bandscheibenschädigung auf.</w:t>
      </w:r>
    </w:p>
    <w:p>
      <w:r>
        <w:rPr>
          <w:b/>
        </w:rPr>
        <w:t>E. 5.2</w:t>
      </w:r>
    </w:p>
    <w:p>
      <w:r>
        <w:t>Der Beschwerdeführer bringt demgegenüber vor, der behandelnde Wirbelsäulen- chirurg gehe im Gegensatz zum Kreisarzt der SUVA nicht von einer vorbestehenden Diskushernie aus, sondern von vorbestehenden degenerativen Veränderungen, die der- art seien, dass der Unfallmechanismus dazu geeignet gewesen sei, einen Bandschei- benvorfall auszulösen. Das Fehlen von indirekten Anzeichen wie eines Hämatoms oder eines Bone Bruise sprächen ihm zufolge nicht gegen ein traumatisches Ereignis. Auf- grund dieser diametral entgegengesetzten Einschätzung hinsichtlich der natürlichen Kausalität würden zumindest geringe Zweifel an der Stellungnahme des Kreisarztes ge- weckt. Im Übrigen habe sich der Gesundheitszustand auch nicht soweit verbessert, dass wieder der Zustand wie vor dem Unfall vorliege. Im Verlauf hätten die Beschwerden eher zugenommen, anlässlich eines Verlaufs-MRI habe sich eine deutliche Progredienz der Diskushernie gezeigt, weshalb eine Dekompression habe durchgeführt werden müssen.</w:t>
      </w:r>
    </w:p>
    <w:p>
      <w:r>
        <w:rPr>
          <w:b/>
        </w:rPr>
        <w:t>E. 5.3</w:t>
      </w:r>
    </w:p>
    <w:p>
      <w:r>
        <w:t>Aus den medizinischen Akten geht hervor, dass beim Beschwerdeführer nach dem Unfallereignis eine «LWS-Kontusion lumbal mit Lumboischialgie S1 Dermatom links» di- agnostiziert worden war. Der Hausarzt teilte mit, er habe den Patienten nur am 11. und am 13. Juni 2022 gesehen. Am 13. Juni 2022 sei es ihm schon viel besser gegangen, er habe ihm noch zur Schonung bis am 18. Juni 2022 geraten (a.a.O. Dok. 30). Ab dem 2. Juli 2022 war der Beschwerdeführer wieder zu 100% arbeitsfähig. Nachdem die Schmerzen im Herbst 2022 deutlich zugenommen hatten und ab dem 7. November 2022 auch wieder eine Arbeitsunfähigkeit von 100% vorlag (a.a.O. Dok. 55), wurden Infiltrati- onen und schliesslich eine Dekompression durchgeführt. Ein Telefon vom 26. Januar 2023 mit dem Arbeitgeber (a.a.O. Dok. 50) ergab den fol- genden Ablauf der Ereignisse: «Auf dem Schrägdach war eine Palette mit ca. 10 Pake- ten Wärmedämmung deponiert, die mit Plastik verschweisst war. Das Plastik wurde auf- geschnitten, wonach eine Dämmung mit einem Gewicht von ca. 20kg von der Palette abgerutscht ist und Herrn X _________, der unmittelbar einige Meter unter der Palette gestanden hat, am Rücken getroffen hat. Herr X _________ ist dabei nicht auf den Rü- cken gefallen. Der Vorfall ist im Verlauf des Tages passiert und Herr X _________ hat an diesem Tag weitergearbeitet, bevor er den Arzt aufgesucht hat».</w:t>
      </w:r>
    </w:p>
    <w:p>
      <w:r>
        <w:rPr>
          <w:b/>
        </w:rPr>
        <w:t>E. 5.4</w:t>
      </w:r>
    </w:p>
    <w:p>
      <w:r>
        <w:t>Es entspricht einer medizinischen Erfahrungstatsache im Bereich des Unfallversi- cherungsrechts, dass praktisch alle Diskushernien bei Vorliegen degenerativer Band-</w:t>
      </w:r>
    </w:p>
    <w:p>
      <w:r>
        <w:t>- 8 - scheibenveränderungen entstehen und ein Unfallereignis nur ausnahmsweise, unter be- sonderen Voraussetzungen, als eigentliche Ursache in Betracht fällt. Als weitgehend un- fallbedingt kann eine Diskushernie betrachtet werden, wenn das Unfallereignis von be- sonderer Schwere und geeignet war, eine Schädigung der Bandscheibe herbeizuführen, und die Symptome der Diskushernie (vertebrales oder radikuläres Syndrom) unverzüg- lich und mit sofortiger Arbeitsunfähigkeit auftreten (Bundesgerichtsurteil 8C_563/2011 vom 29. August 2011 E. 3). Diese Voraussetzungen liegen hier schon deshalb nicht vor, weil der Beschwerdeführer nach dem Unfall weiterarbeitete, bevor er den Arzt aufsuchte und in der Folge ab dem 2. Juli 2022 wieder vollzeitig arbeitsfähig war. Das Auftreten von akuten und mit einer sofortigen Arbeitsunfähigkeit verbundenen Symptomen, welche rechtsprechungsge- mäss für das Vorliegen einer unfallkausalen Diskusprotrusion oder unfallkausalen Ver- schlimmerung eines vorbestehenden Bandscheibenschadens sprächen, ist hier demzu- folge zu verneinen. Radiologisch konnte zu keinem Zeitpunkt eine unfallbedingte Schä- digung der LWS festgestellt werden (vgl. dazu Bundesgerichtsurteil 8C_322/2014 vom</w:t>
      </w:r>
    </w:p>
    <w:p>
      <w:r>
        <w:rPr>
          <w:b/>
        </w:rPr>
        <w:t>E. 5.5</w:t>
      </w:r>
    </w:p>
    <w:p>
      <w:r>
        <w:t>In Würdigung der eindeutigen Aktenlage ist die kreisärztliche Beurteilung schlüssig. Die beschwerdeseits vertretene Schlussfolgerung "post hoc ergo propter hoc" läuft auf eine unzulässige und beweisrechtlich wertlose Argumentation hinaus. Da der entscheid- wesentliche Sachverhalt als genügend abgeklärt beurteilt werden kann, war das nach- vollziehbare Aktengutachten des Kreisarztes rechtsprechungsgemäss zulässig. Für das erkennende Gericht steht mit überwiegender Wahrscheinlichkeit fest, dass die persistie- renden Schmerzen des Beschwerdeführers nicht in einem natürlichen Zusammenhang mit dem Unfall vom 7. Juni 2022 stehen. Von der Einholung eines orthopädischen Gut- achtens sind keine neuen Erkenntnisse zu erwarten, weshalb darauf zu verzichten und der entsprechende Beschwerdeantrag abzuweisen ist (antizipierte Beweiswürdigung, BGE 124 V 94). Die SUVA hat das Vorliegen einer natürlichen Kausalität über den 30. September 2023 hinaus demnach zu Recht verneint und ihre Leistungen eingestellt. 6. 6.1 Das Verfahren ist, von hier nicht massgebenden Ausnahmen abgesehen, kostenlos (Art. 61 lit. fbis ATSG).</w:t>
      </w:r>
    </w:p>
    <w:p>
      <w:r>
        <w:t>- 9 - 6.2 Gemäss Art. 61 lit. g ATSG hat nur die obsiegende Beschwerde führende Person Anspruch auf eine Parteientschädigung. Damit wird klargestellt, dass dem Beschwerde- gegner – d.h. dem Versicherungsträger keine Parteientschädigung zusteht (BGE 123 V 309 E. 10 mit Hinweisen). 6.3 Mit Präsidialentscheid vom 15. März 2024 wurde dem Beschwerdeführer der unent- geltliche Rechtsbeistand für das Verfahren vor dem Kantonsgericht unter Ernennung ei- nes Offizialanwaltes mit Substitutionsrecht erteilt. Entsprechend dem Ausgang des Ver- fahrens ist der Offizialanwalt, da der Verbeiständete unterliegt (Art. 8 Abs. 1 lit. a GUR und Art. 10 Abs. 1 und 3 VGR), für das hiesige Verfahren aus der Staatskasse zu ent- schädigen. Gemäss bundesgerichtlicher Rechtsprechung ist es zulässig, bei Offizialver- tretern einen etwas günstigeren Honorartarif anzuwenden als bei privaten Mandaten. Die Selbstkosten des Anwaltes müssen aber gedeckt sein und es soll mehr als ein bloss symbolisches Einkommen resultieren (BGE 132 I 201 E. 8, Bundesgerichtsurteil 9C_411/2016 E.4). Das Bundesgericht erachtet einen Stundenansatz von CHF 180 (exkl. Mehrwertsteuer) als angemessen. Vorliegend hat der Offizialvertreter des Beschwerdeführers am 30. April 2024 seine Kos- tennote eingereicht. Er macht geltend, für das Beschwerdeverfahren (Beschwerde, di- verse Schreiben zur Einholung der Arztberichte, Besprechungen mit dem Klienten, Rep- lik), inklusive des Gesuchs um unentgeltliche Rechtspflege, insgesamt 13.5 Stunden aufgewendet zu haben. Dieser Aufwand für das Aktenstudium und Abfassen der Rechts- schriften bzw. der Korrespondenzen und die Besprechungen mit dem Klienten erscheint als angemessen. Es rechtfertigt sich deshalb, dem Offizialanwalt ein Honorar für 13.5 Stunden à CHF 180, die geltend gemachte Auslagenpauschale von 3% sowie die Mehr- wertsteuer von 8.1%, ausmachend insgesamt CHF 2'705.65, zuzusprechen. Das Hono- rar ist aus der Staatskasse zu entrichten. Der Beschwerdeführer wird darauf hingewie- sen, dass dieser Betrag von der Staatskasse eingezogen wird, sobald er wieder in der Lage sein sollte, ihn zu bezahlen (Art. 69 Abs. 1bis IVG und Art. 10 Abs. 1 GUR).</w:t>
      </w:r>
    </w:p>
    <w:p>
      <w:r>
        <w:t>- 10 -</w:t>
      </w:r>
    </w:p>
    <w:p>
      <w:r>
        <w:rPr>
          <w:b/>
        </w:rPr>
        <w:t>E. 10</w:t>
      </w:r>
    </w:p>
    <w:p>
      <w:r>
        <w:t>Oktober 2014 E. 4.2). Dem Unfallereignis liegt somit auch kein organisch objektiv ausgewiesenes, unfallkausales Substrat zugrunde, womit ein natürlicher Kausalzusam- menhang zu verneinen ist und sich eine Adäquanzprüfung erübrigt (Bundesgerichtsurteil 8C_563/2011 vom 29. August 2011 E. 4.1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